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48C45" w14:textId="7ED78DF0" w:rsidR="00C04AA8" w:rsidRPr="009100AB" w:rsidRDefault="009100AB" w:rsidP="00C04AA8">
      <w:pPr>
        <w:spacing w:after="120" w:line="240" w:lineRule="auto"/>
        <w:rPr>
          <w:rFonts w:ascii="Arial" w:hAnsi="Arial" w:cs="Arial"/>
          <w:b/>
          <w:bCs/>
          <w:sz w:val="24"/>
          <w:szCs w:val="24"/>
        </w:rPr>
      </w:pPr>
      <w:r w:rsidRPr="009100AB">
        <w:rPr>
          <w:rFonts w:ascii="Arial" w:hAnsi="Arial" w:cs="Arial"/>
          <w:b/>
          <w:bCs/>
          <w:sz w:val="24"/>
          <w:szCs w:val="24"/>
        </w:rPr>
        <w:t>CBE 0</w:t>
      </w:r>
      <w:r w:rsidR="00167670">
        <w:rPr>
          <w:rFonts w:ascii="Arial" w:hAnsi="Arial" w:cs="Arial"/>
          <w:b/>
          <w:bCs/>
          <w:sz w:val="24"/>
          <w:szCs w:val="24"/>
        </w:rPr>
        <w:t>964</w:t>
      </w:r>
      <w:r>
        <w:rPr>
          <w:rFonts w:ascii="Arial" w:hAnsi="Arial" w:cs="Arial"/>
          <w:sz w:val="24"/>
          <w:szCs w:val="24"/>
        </w:rPr>
        <w:t xml:space="preserve"> </w:t>
      </w:r>
      <w:r w:rsidR="00167670" w:rsidRPr="00167670">
        <w:rPr>
          <w:rFonts w:ascii="Arial" w:hAnsi="Arial" w:cs="Arial"/>
          <w:b/>
          <w:bCs/>
          <w:sz w:val="24"/>
          <w:szCs w:val="24"/>
        </w:rPr>
        <w:t>Therapy with aspirin, P2Y12 inhibitor, and statin at discharge following PCI in eligible patients</w:t>
      </w:r>
    </w:p>
    <w:p w14:paraId="30A332FE" w14:textId="26D0C27D" w:rsidR="006C1662" w:rsidRPr="006C1662" w:rsidRDefault="00167670" w:rsidP="009100AB">
      <w:pPr>
        <w:spacing w:after="120" w:line="240" w:lineRule="auto"/>
        <w:rPr>
          <w:rFonts w:ascii="Arial" w:hAnsi="Arial" w:cs="Arial"/>
          <w:sz w:val="20"/>
          <w:szCs w:val="20"/>
        </w:rPr>
      </w:pPr>
      <w:r w:rsidRPr="00167670">
        <w:rPr>
          <w:rFonts w:ascii="Arial" w:hAnsi="Arial" w:cs="Arial"/>
          <w:sz w:val="20"/>
          <w:szCs w:val="20"/>
        </w:rPr>
        <w:t>Proportion of eligible patients ≥ 18 years of age, who were prescribed aspirin, P2Y12 inhibitor, and statin at discharge following PCI with or without stenting.</w:t>
      </w:r>
    </w:p>
    <w:p w14:paraId="7D976F94" w14:textId="0BA15C7D" w:rsidR="008D7C4E" w:rsidRPr="00167670" w:rsidRDefault="006C1662" w:rsidP="009100AB">
      <w:pPr>
        <w:spacing w:after="120" w:line="240" w:lineRule="auto"/>
        <w:rPr>
          <w:rFonts w:ascii="Arial" w:hAnsi="Arial" w:cs="Arial"/>
          <w:sz w:val="20"/>
          <w:szCs w:val="20"/>
        </w:rPr>
      </w:pPr>
      <w:r w:rsidRPr="006C1662">
        <w:rPr>
          <w:rFonts w:ascii="Arial" w:hAnsi="Arial" w:cs="Arial"/>
          <w:b/>
          <w:bCs/>
          <w:sz w:val="20"/>
          <w:szCs w:val="20"/>
        </w:rPr>
        <w:t>Summary:</w:t>
      </w:r>
      <w:r w:rsidRPr="006C1662">
        <w:rPr>
          <w:rFonts w:ascii="Arial" w:hAnsi="Arial" w:cs="Arial"/>
          <w:sz w:val="20"/>
          <w:szCs w:val="20"/>
        </w:rPr>
        <w:t xml:space="preserve"> </w:t>
      </w:r>
      <w:r w:rsidR="00167670" w:rsidRPr="00167670">
        <w:rPr>
          <w:rFonts w:ascii="Arial" w:hAnsi="Arial" w:cs="Arial"/>
          <w:sz w:val="20"/>
          <w:szCs w:val="20"/>
        </w:rPr>
        <w:t xml:space="preserve">Recommended treatment therapy with dual antiplatelet therapy (DAPT: aspirin plus platelet P2Y12 receptor inhibitors) markedly lowers the risk of acute stent thrombosis and DAPT is included in this composite medication due to the evidence demonstrating that its use can reduce the risk of adverse outcomes such as MI or death after stenting (ATT Collaboration, 2002; ATT Collaboration, 2009; </w:t>
      </w:r>
      <w:r w:rsidR="00167670" w:rsidRPr="00116D0A">
        <w:rPr>
          <w:rFonts w:ascii="Arial" w:hAnsi="Arial" w:cs="Arial"/>
          <w:sz w:val="20"/>
          <w:szCs w:val="20"/>
        </w:rPr>
        <w:t>Palmerini</w:t>
      </w:r>
      <w:r w:rsidR="00167670" w:rsidRPr="00167670">
        <w:rPr>
          <w:rFonts w:ascii="Arial" w:hAnsi="Arial" w:cs="Arial"/>
          <w:sz w:val="20"/>
          <w:szCs w:val="20"/>
        </w:rPr>
        <w:t>, 2015; Khan, 2020). Statins are demonstrated to delay progression of atherosclerosis and prevent recurrent coronary events (CTT Collaboration, 2010; CTT Collaboration, 2019). The use of these three medication classes is strongly recommended by national consensus practice guidelines to reduce adverse events or death following PCI.</w:t>
      </w:r>
    </w:p>
    <w:tbl>
      <w:tblPr>
        <w:tblStyle w:val="TableGrid"/>
        <w:tblW w:w="12952" w:type="dxa"/>
        <w:tblBorders>
          <w:top w:val="single" w:sz="6" w:space="0" w:color="auto"/>
          <w:left w:val="single" w:sz="6" w:space="0" w:color="auto"/>
          <w:bottom w:val="single" w:sz="6" w:space="0" w:color="auto"/>
          <w:right w:val="single" w:sz="6" w:space="0" w:color="auto"/>
        </w:tblBorders>
        <w:tblLayout w:type="fixed"/>
        <w:tblCellMar>
          <w:top w:w="58" w:type="dxa"/>
          <w:left w:w="58" w:type="dxa"/>
          <w:bottom w:w="58" w:type="dxa"/>
          <w:right w:w="58" w:type="dxa"/>
        </w:tblCellMar>
        <w:tblLook w:val="04A0" w:firstRow="1" w:lastRow="0" w:firstColumn="1" w:lastColumn="0" w:noHBand="0" w:noVBand="1"/>
      </w:tblPr>
      <w:tblGrid>
        <w:gridCol w:w="2160"/>
        <w:gridCol w:w="2160"/>
        <w:gridCol w:w="2160"/>
        <w:gridCol w:w="6472"/>
      </w:tblGrid>
      <w:tr w:rsidR="00B9552F" w:rsidRPr="00C04AA8" w14:paraId="351E6B52" w14:textId="77777777" w:rsidTr="00B9552F">
        <w:trPr>
          <w:cantSplit/>
        </w:trPr>
        <w:tc>
          <w:tcPr>
            <w:tcW w:w="2160" w:type="dxa"/>
            <w:shd w:val="clear" w:color="auto" w:fill="3F6CA9"/>
            <w:tcMar>
              <w:top w:w="58" w:type="dxa"/>
              <w:left w:w="58" w:type="dxa"/>
              <w:bottom w:w="58" w:type="dxa"/>
              <w:right w:w="58" w:type="dxa"/>
            </w:tcMar>
            <w:vAlign w:val="center"/>
          </w:tcPr>
          <w:p w14:paraId="133E7F7A" w14:textId="4A586C7D" w:rsidR="00B9552F" w:rsidRPr="00C04AA8" w:rsidRDefault="00B9552F" w:rsidP="00C04AA8">
            <w:pPr>
              <w:rPr>
                <w:rFonts w:ascii="Arial" w:eastAsia="Calibri" w:hAnsi="Arial" w:cs="Arial"/>
                <w:b/>
                <w:color w:val="FFFFFF"/>
                <w:sz w:val="20"/>
                <w:szCs w:val="20"/>
              </w:rPr>
            </w:pPr>
            <w:r w:rsidRPr="00C04AA8">
              <w:rPr>
                <w:rFonts w:ascii="Arial" w:eastAsia="Calibri" w:hAnsi="Arial" w:cs="Arial"/>
                <w:b/>
                <w:color w:val="FFFFFF"/>
                <w:sz w:val="20"/>
                <w:szCs w:val="20"/>
              </w:rPr>
              <w:t>Inputs</w:t>
            </w:r>
          </w:p>
        </w:tc>
        <w:tc>
          <w:tcPr>
            <w:tcW w:w="2160" w:type="dxa"/>
            <w:shd w:val="clear" w:color="auto" w:fill="3F6CA9"/>
            <w:tcMar>
              <w:top w:w="58" w:type="dxa"/>
              <w:left w:w="58" w:type="dxa"/>
              <w:bottom w:w="58" w:type="dxa"/>
              <w:right w:w="58" w:type="dxa"/>
            </w:tcMar>
            <w:vAlign w:val="center"/>
          </w:tcPr>
          <w:p w14:paraId="5FAD28C3" w14:textId="77777777" w:rsidR="00B9552F" w:rsidRPr="00C04AA8" w:rsidRDefault="00B9552F" w:rsidP="00C04AA8">
            <w:pPr>
              <w:rPr>
                <w:rFonts w:ascii="Arial" w:eastAsia="Calibri" w:hAnsi="Arial" w:cs="Arial"/>
                <w:b/>
                <w:color w:val="FFFFFF"/>
                <w:sz w:val="20"/>
                <w:szCs w:val="20"/>
              </w:rPr>
            </w:pPr>
            <w:r w:rsidRPr="00C04AA8">
              <w:rPr>
                <w:rFonts w:ascii="Arial" w:eastAsia="Calibri" w:hAnsi="Arial" w:cs="Arial"/>
                <w:b/>
                <w:color w:val="FFFFFF"/>
                <w:sz w:val="20"/>
                <w:szCs w:val="20"/>
              </w:rPr>
              <w:t>Activities</w:t>
            </w:r>
          </w:p>
        </w:tc>
        <w:tc>
          <w:tcPr>
            <w:tcW w:w="2160" w:type="dxa"/>
            <w:shd w:val="clear" w:color="auto" w:fill="3F6CA9"/>
            <w:tcMar>
              <w:top w:w="58" w:type="dxa"/>
              <w:left w:w="58" w:type="dxa"/>
              <w:bottom w:w="58" w:type="dxa"/>
              <w:right w:w="58" w:type="dxa"/>
            </w:tcMar>
            <w:vAlign w:val="center"/>
          </w:tcPr>
          <w:p w14:paraId="11019896" w14:textId="77777777" w:rsidR="00B9552F" w:rsidRPr="00C04AA8" w:rsidRDefault="00B9552F" w:rsidP="00C04AA8">
            <w:pPr>
              <w:rPr>
                <w:rFonts w:ascii="Arial" w:eastAsia="Calibri" w:hAnsi="Arial" w:cs="Arial"/>
                <w:b/>
                <w:color w:val="FFFFFF"/>
                <w:sz w:val="20"/>
                <w:szCs w:val="20"/>
              </w:rPr>
            </w:pPr>
            <w:r w:rsidRPr="00C04AA8">
              <w:rPr>
                <w:rFonts w:ascii="Arial" w:eastAsia="Calibri" w:hAnsi="Arial" w:cs="Arial"/>
                <w:b/>
                <w:color w:val="FFFFFF"/>
                <w:sz w:val="20"/>
                <w:szCs w:val="20"/>
              </w:rPr>
              <w:t>Outputs</w:t>
            </w:r>
          </w:p>
        </w:tc>
        <w:tc>
          <w:tcPr>
            <w:tcW w:w="6472" w:type="dxa"/>
            <w:shd w:val="clear" w:color="auto" w:fill="004280"/>
            <w:tcMar>
              <w:top w:w="58" w:type="dxa"/>
              <w:left w:w="58" w:type="dxa"/>
              <w:bottom w:w="58" w:type="dxa"/>
              <w:right w:w="58" w:type="dxa"/>
            </w:tcMar>
            <w:vAlign w:val="center"/>
          </w:tcPr>
          <w:p w14:paraId="05475A82" w14:textId="32B238DA" w:rsidR="00B9552F" w:rsidRPr="00C04AA8" w:rsidRDefault="00B9552F" w:rsidP="00C04AA8">
            <w:pPr>
              <w:rPr>
                <w:rFonts w:ascii="Arial" w:eastAsia="Calibri" w:hAnsi="Arial" w:cs="Arial"/>
                <w:b/>
                <w:color w:val="FFFFFF"/>
                <w:sz w:val="20"/>
                <w:szCs w:val="20"/>
              </w:rPr>
            </w:pPr>
            <w:r w:rsidRPr="00C04AA8">
              <w:rPr>
                <w:rFonts w:ascii="Arial" w:eastAsia="Calibri" w:hAnsi="Arial" w:cs="Arial"/>
                <w:b/>
                <w:color w:val="FFFFFF"/>
                <w:sz w:val="20"/>
                <w:szCs w:val="20"/>
              </w:rPr>
              <w:t>Outcomes</w:t>
            </w:r>
            <w:r>
              <w:rPr>
                <w:rFonts w:ascii="Arial" w:eastAsia="Calibri" w:hAnsi="Arial" w:cs="Arial"/>
                <w:b/>
                <w:color w:val="FFFFFF"/>
                <w:sz w:val="20"/>
                <w:szCs w:val="20"/>
              </w:rPr>
              <w:t xml:space="preserve"> &amp; Impact</w:t>
            </w:r>
          </w:p>
        </w:tc>
      </w:tr>
      <w:tr w:rsidR="00B9552F" w:rsidRPr="00C04AA8" w14:paraId="7E6F1132" w14:textId="77777777" w:rsidTr="00B9552F">
        <w:trPr>
          <w:cantSplit/>
          <w:trHeight w:val="288"/>
        </w:trPr>
        <w:tc>
          <w:tcPr>
            <w:tcW w:w="2160" w:type="dxa"/>
            <w:tcMar>
              <w:top w:w="58" w:type="dxa"/>
              <w:left w:w="58" w:type="dxa"/>
              <w:bottom w:w="58" w:type="dxa"/>
              <w:right w:w="58" w:type="dxa"/>
            </w:tcMar>
          </w:tcPr>
          <w:p w14:paraId="3252671D" w14:textId="3BF2C1F8" w:rsidR="00B9552F" w:rsidRDefault="00B9552F" w:rsidP="009100AB">
            <w:pPr>
              <w:spacing w:after="120"/>
              <w:rPr>
                <w:rFonts w:ascii="Arial" w:eastAsia="Calibri" w:hAnsi="Arial" w:cs="Arial"/>
                <w:sz w:val="18"/>
                <w:szCs w:val="18"/>
              </w:rPr>
            </w:pPr>
            <w:r>
              <w:rPr>
                <w:rFonts w:ascii="Arial" w:eastAsia="Times New Roman" w:hAnsi="Arial" w:cs="Arial"/>
                <w:sz w:val="18"/>
                <w:szCs w:val="18"/>
              </w:rPr>
              <w:t xml:space="preserve">Quality improvement </w:t>
            </w:r>
            <w:r>
              <w:rPr>
                <w:rFonts w:ascii="Arial" w:eastAsia="Calibri" w:hAnsi="Arial" w:cs="Arial"/>
                <w:sz w:val="18"/>
                <w:szCs w:val="18"/>
              </w:rPr>
              <w:t>activities such as multidisciplinary teams, clinician and staff education based on clinical recommendations, and tracking of performance against a dashboard</w:t>
            </w:r>
          </w:p>
          <w:p w14:paraId="1E4A8D58" w14:textId="77777777" w:rsidR="00B9552F" w:rsidRDefault="00B9552F" w:rsidP="004B542A">
            <w:pPr>
              <w:spacing w:after="120"/>
              <w:rPr>
                <w:rFonts w:ascii="Arial" w:eastAsia="Calibri" w:hAnsi="Arial" w:cs="Arial"/>
                <w:sz w:val="18"/>
                <w:szCs w:val="18"/>
              </w:rPr>
            </w:pPr>
            <w:r>
              <w:rPr>
                <w:rFonts w:ascii="Arial" w:eastAsia="Calibri" w:hAnsi="Arial" w:cs="Arial"/>
                <w:sz w:val="18"/>
                <w:szCs w:val="18"/>
              </w:rPr>
              <w:t>Tools and technology integration such as hospital protocols and automated order sets in the electronic health record system (EHRs)</w:t>
            </w:r>
          </w:p>
          <w:p w14:paraId="3D1C6593" w14:textId="321C611C" w:rsidR="00B9552F" w:rsidRPr="00C04AA8" w:rsidRDefault="00B9552F" w:rsidP="004B542A">
            <w:pPr>
              <w:spacing w:after="120"/>
              <w:rPr>
                <w:rFonts w:ascii="Arial" w:eastAsia="Times New Roman" w:hAnsi="Arial" w:cs="Arial"/>
                <w:sz w:val="18"/>
                <w:szCs w:val="18"/>
              </w:rPr>
            </w:pPr>
            <w:r>
              <w:rPr>
                <w:rFonts w:ascii="Arial" w:eastAsia="Calibri" w:hAnsi="Arial" w:cs="Arial"/>
                <w:sz w:val="18"/>
                <w:szCs w:val="18"/>
              </w:rPr>
              <w:t>Patient education materials</w:t>
            </w:r>
          </w:p>
        </w:tc>
        <w:tc>
          <w:tcPr>
            <w:tcW w:w="2160" w:type="dxa"/>
            <w:tcMar>
              <w:top w:w="58" w:type="dxa"/>
              <w:left w:w="58" w:type="dxa"/>
              <w:bottom w:w="58" w:type="dxa"/>
              <w:right w:w="58" w:type="dxa"/>
            </w:tcMar>
          </w:tcPr>
          <w:p w14:paraId="483F111C" w14:textId="77777777" w:rsidR="00B9552F" w:rsidRDefault="00B9552F" w:rsidP="004B542A">
            <w:pPr>
              <w:spacing w:after="120"/>
              <w:rPr>
                <w:rFonts w:ascii="Arial" w:eastAsia="Calibri" w:hAnsi="Arial" w:cs="Arial"/>
                <w:sz w:val="18"/>
                <w:szCs w:val="18"/>
              </w:rPr>
            </w:pPr>
            <w:r>
              <w:rPr>
                <w:rFonts w:ascii="Arial" w:eastAsia="Calibri" w:hAnsi="Arial" w:cs="Arial"/>
                <w:sz w:val="18"/>
                <w:szCs w:val="18"/>
              </w:rPr>
              <w:t xml:space="preserve">Implementation of quality improvement activities and tools and technology integration </w:t>
            </w:r>
          </w:p>
          <w:p w14:paraId="4312D981" w14:textId="1FDC1407" w:rsidR="00B9552F" w:rsidRPr="00C04AA8" w:rsidRDefault="00B9552F" w:rsidP="004B542A">
            <w:pPr>
              <w:spacing w:after="120"/>
              <w:rPr>
                <w:rFonts w:ascii="Arial" w:eastAsia="Calibri" w:hAnsi="Arial" w:cs="Arial"/>
                <w:sz w:val="18"/>
                <w:szCs w:val="18"/>
              </w:rPr>
            </w:pPr>
            <w:r>
              <w:rPr>
                <w:rFonts w:ascii="Arial" w:eastAsia="Calibri" w:hAnsi="Arial" w:cs="Arial"/>
                <w:sz w:val="18"/>
                <w:szCs w:val="18"/>
              </w:rPr>
              <w:t xml:space="preserve">Delivery of patient education materials </w:t>
            </w:r>
          </w:p>
        </w:tc>
        <w:tc>
          <w:tcPr>
            <w:tcW w:w="2160" w:type="dxa"/>
            <w:tcMar>
              <w:top w:w="58" w:type="dxa"/>
              <w:left w:w="58" w:type="dxa"/>
              <w:bottom w:w="58" w:type="dxa"/>
              <w:right w:w="58" w:type="dxa"/>
            </w:tcMar>
          </w:tcPr>
          <w:p w14:paraId="47E89A01" w14:textId="77C8BE63" w:rsidR="00B9552F" w:rsidRDefault="00340A2B" w:rsidP="004B542A">
            <w:pPr>
              <w:spacing w:after="120"/>
              <w:rPr>
                <w:rFonts w:ascii="Arial" w:eastAsia="Calibri" w:hAnsi="Arial" w:cs="Arial"/>
                <w:sz w:val="18"/>
                <w:szCs w:val="18"/>
              </w:rPr>
            </w:pPr>
            <w:r>
              <w:rPr>
                <w:rFonts w:ascii="Arial" w:eastAsia="Calibri" w:hAnsi="Arial" w:cs="Arial"/>
                <w:sz w:val="18"/>
                <w:szCs w:val="18"/>
              </w:rPr>
              <w:t xml:space="preserve">Aspirin, P2Y12 inhibitor, and statin prescription </w:t>
            </w:r>
            <w:r w:rsidR="00B9552F">
              <w:rPr>
                <w:rFonts w:ascii="Arial" w:eastAsia="Calibri" w:hAnsi="Arial" w:cs="Arial"/>
                <w:sz w:val="18"/>
                <w:szCs w:val="18"/>
              </w:rPr>
              <w:t>rates</w:t>
            </w:r>
            <w:r>
              <w:rPr>
                <w:rFonts w:ascii="Arial" w:eastAsia="Calibri" w:hAnsi="Arial" w:cs="Arial"/>
                <w:sz w:val="18"/>
                <w:szCs w:val="18"/>
              </w:rPr>
              <w:t xml:space="preserve"> at discharge </w:t>
            </w:r>
            <w:r w:rsidR="00B9552F">
              <w:rPr>
                <w:rFonts w:ascii="Arial" w:eastAsia="Calibri" w:hAnsi="Arial" w:cs="Arial"/>
                <w:sz w:val="18"/>
                <w:szCs w:val="18"/>
              </w:rPr>
              <w:t xml:space="preserve"> </w:t>
            </w:r>
          </w:p>
          <w:p w14:paraId="089A7845" w14:textId="17EAE72C" w:rsidR="00B9552F" w:rsidRDefault="00B9552F" w:rsidP="004B542A">
            <w:pPr>
              <w:spacing w:after="120"/>
              <w:rPr>
                <w:rFonts w:ascii="Arial" w:eastAsia="Calibri" w:hAnsi="Arial" w:cs="Arial"/>
                <w:sz w:val="18"/>
                <w:szCs w:val="18"/>
              </w:rPr>
            </w:pPr>
            <w:r>
              <w:rPr>
                <w:rFonts w:ascii="Arial" w:eastAsia="Calibri" w:hAnsi="Arial" w:cs="Arial"/>
                <w:sz w:val="18"/>
                <w:szCs w:val="18"/>
              </w:rPr>
              <w:t xml:space="preserve">Use of technology/tools, depending on individual hospital implementation needs (e.g., rates of automated order sets) </w:t>
            </w:r>
          </w:p>
          <w:p w14:paraId="11F890F0" w14:textId="0A907ABC" w:rsidR="00B9552F" w:rsidRPr="00C04AA8" w:rsidRDefault="00B9552F" w:rsidP="004B542A">
            <w:pPr>
              <w:spacing w:after="120"/>
              <w:rPr>
                <w:rFonts w:ascii="Arial" w:eastAsia="Calibri" w:hAnsi="Arial" w:cs="Arial"/>
                <w:sz w:val="18"/>
                <w:szCs w:val="18"/>
              </w:rPr>
            </w:pPr>
            <w:r>
              <w:rPr>
                <w:rFonts w:ascii="Arial" w:eastAsia="Calibri" w:hAnsi="Arial" w:cs="Arial"/>
                <w:sz w:val="18"/>
                <w:szCs w:val="18"/>
              </w:rPr>
              <w:t>Number of patient education materials distributed</w:t>
            </w:r>
          </w:p>
        </w:tc>
        <w:tc>
          <w:tcPr>
            <w:tcW w:w="6472" w:type="dxa"/>
            <w:tcMar>
              <w:top w:w="58" w:type="dxa"/>
              <w:left w:w="58" w:type="dxa"/>
              <w:bottom w:w="58" w:type="dxa"/>
              <w:right w:w="58" w:type="dxa"/>
            </w:tcMar>
          </w:tcPr>
          <w:p w14:paraId="4EBBEB8E" w14:textId="77777777" w:rsidR="00B9552F" w:rsidRDefault="00B9552F" w:rsidP="00BB3E9F">
            <w:pPr>
              <w:spacing w:after="120"/>
              <w:rPr>
                <w:rFonts w:ascii="Arial" w:eastAsia="Calibri" w:hAnsi="Arial" w:cs="Arial"/>
                <w:sz w:val="18"/>
                <w:szCs w:val="18"/>
                <w:u w:val="single"/>
              </w:rPr>
            </w:pPr>
            <w:r>
              <w:rPr>
                <w:rFonts w:ascii="Arial" w:eastAsia="Calibri" w:hAnsi="Arial" w:cs="Arial"/>
                <w:sz w:val="18"/>
                <w:szCs w:val="18"/>
                <w:u w:val="single"/>
              </w:rPr>
              <w:t>Short-term</w:t>
            </w:r>
          </w:p>
          <w:p w14:paraId="0D771675" w14:textId="46038CE8" w:rsidR="00B9552F" w:rsidRDefault="00B9552F" w:rsidP="00BB3E9F">
            <w:pPr>
              <w:spacing w:after="120"/>
              <w:rPr>
                <w:rFonts w:ascii="Arial" w:eastAsia="Calibri" w:hAnsi="Arial" w:cs="Arial"/>
                <w:sz w:val="18"/>
                <w:szCs w:val="18"/>
              </w:rPr>
            </w:pPr>
            <w:r>
              <w:rPr>
                <w:rFonts w:ascii="Arial" w:eastAsia="Calibri" w:hAnsi="Arial" w:cs="Arial"/>
                <w:sz w:val="18"/>
                <w:szCs w:val="18"/>
              </w:rPr>
              <w:t xml:space="preserve">Increased rates of </w:t>
            </w:r>
            <w:r w:rsidR="0031055A">
              <w:rPr>
                <w:rFonts w:ascii="Arial" w:eastAsia="Calibri" w:hAnsi="Arial" w:cs="Arial"/>
                <w:sz w:val="18"/>
                <w:szCs w:val="18"/>
              </w:rPr>
              <w:t>prescriptions of all three medications</w:t>
            </w:r>
            <w:r>
              <w:rPr>
                <w:rFonts w:ascii="Arial" w:eastAsia="Calibri" w:hAnsi="Arial" w:cs="Arial"/>
                <w:sz w:val="18"/>
                <w:szCs w:val="18"/>
              </w:rPr>
              <w:t xml:space="preserve"> in patients </w:t>
            </w:r>
            <w:r w:rsidR="0031055A">
              <w:rPr>
                <w:rFonts w:ascii="Arial" w:eastAsia="Calibri" w:hAnsi="Arial" w:cs="Arial"/>
                <w:sz w:val="18"/>
                <w:szCs w:val="18"/>
              </w:rPr>
              <w:t>at discharge following PCI</w:t>
            </w:r>
          </w:p>
          <w:p w14:paraId="0BD098AD" w14:textId="5EF82F09" w:rsidR="00B9552F" w:rsidRDefault="00B9552F" w:rsidP="00BB3E9F">
            <w:pPr>
              <w:spacing w:after="120"/>
              <w:rPr>
                <w:rFonts w:ascii="Arial" w:eastAsia="Calibri" w:hAnsi="Arial" w:cs="Arial"/>
                <w:sz w:val="18"/>
                <w:szCs w:val="18"/>
              </w:rPr>
            </w:pPr>
            <w:r>
              <w:rPr>
                <w:rFonts w:ascii="Arial" w:eastAsia="Calibri" w:hAnsi="Arial" w:cs="Arial"/>
                <w:sz w:val="18"/>
                <w:szCs w:val="18"/>
              </w:rPr>
              <w:t xml:space="preserve">Increased clinician and patient awareness and attention to </w:t>
            </w:r>
            <w:r w:rsidR="0031055A">
              <w:rPr>
                <w:rFonts w:ascii="Arial" w:eastAsia="Calibri" w:hAnsi="Arial" w:cs="Arial"/>
                <w:sz w:val="18"/>
                <w:szCs w:val="18"/>
              </w:rPr>
              <w:t>prescribing and filling medications</w:t>
            </w:r>
            <w:r>
              <w:rPr>
                <w:rFonts w:ascii="Arial" w:eastAsia="Calibri" w:hAnsi="Arial" w:cs="Arial"/>
                <w:sz w:val="18"/>
                <w:szCs w:val="18"/>
              </w:rPr>
              <w:t xml:space="preserve"> </w:t>
            </w:r>
          </w:p>
          <w:p w14:paraId="654B3556" w14:textId="62EF7551" w:rsidR="00B9552F" w:rsidRPr="00BB3E9F" w:rsidRDefault="00B9552F" w:rsidP="00BB3E9F">
            <w:pPr>
              <w:spacing w:after="120"/>
              <w:rPr>
                <w:rFonts w:ascii="Arial" w:eastAsia="Calibri" w:hAnsi="Arial" w:cs="Arial"/>
                <w:sz w:val="18"/>
                <w:szCs w:val="18"/>
              </w:rPr>
            </w:pPr>
            <w:r>
              <w:rPr>
                <w:rFonts w:ascii="Arial" w:eastAsia="Calibri" w:hAnsi="Arial" w:cs="Arial"/>
                <w:sz w:val="18"/>
                <w:szCs w:val="18"/>
              </w:rPr>
              <w:t xml:space="preserve">Ability of the facility to track interventions and progress on </w:t>
            </w:r>
            <w:r w:rsidR="0031055A">
              <w:rPr>
                <w:rFonts w:ascii="Arial" w:eastAsia="Calibri" w:hAnsi="Arial" w:cs="Arial"/>
                <w:sz w:val="18"/>
                <w:szCs w:val="18"/>
              </w:rPr>
              <w:t xml:space="preserve">prescription </w:t>
            </w:r>
            <w:r>
              <w:rPr>
                <w:rFonts w:ascii="Arial" w:eastAsia="Calibri" w:hAnsi="Arial" w:cs="Arial"/>
                <w:sz w:val="18"/>
                <w:szCs w:val="18"/>
              </w:rPr>
              <w:t>rates</w:t>
            </w:r>
          </w:p>
          <w:p w14:paraId="177A5253" w14:textId="77777777" w:rsidR="00B9552F" w:rsidRDefault="00B9552F" w:rsidP="00BB3E9F">
            <w:pPr>
              <w:spacing w:after="120"/>
              <w:rPr>
                <w:rFonts w:ascii="Arial" w:eastAsia="Calibri" w:hAnsi="Arial" w:cs="Arial"/>
                <w:sz w:val="18"/>
                <w:szCs w:val="18"/>
                <w:u w:val="single"/>
              </w:rPr>
            </w:pPr>
            <w:r>
              <w:rPr>
                <w:rFonts w:ascii="Arial" w:eastAsia="Calibri" w:hAnsi="Arial" w:cs="Arial"/>
                <w:sz w:val="18"/>
                <w:szCs w:val="18"/>
                <w:u w:val="single"/>
              </w:rPr>
              <w:t>Intermediate-term</w:t>
            </w:r>
          </w:p>
          <w:p w14:paraId="2053C0E1" w14:textId="603593DA" w:rsidR="00B9552F" w:rsidRDefault="00B9552F" w:rsidP="00BB3E9F">
            <w:pPr>
              <w:spacing w:after="120"/>
              <w:rPr>
                <w:rFonts w:ascii="Arial" w:eastAsia="Calibri" w:hAnsi="Arial" w:cs="Arial"/>
                <w:sz w:val="18"/>
                <w:szCs w:val="18"/>
              </w:rPr>
            </w:pPr>
            <w:r>
              <w:rPr>
                <w:rFonts w:ascii="Arial" w:eastAsia="Calibri" w:hAnsi="Arial" w:cs="Arial"/>
                <w:sz w:val="18"/>
                <w:szCs w:val="18"/>
              </w:rPr>
              <w:t>Improved clinician documentation and use of tools and technology (e.g., automated order sets)</w:t>
            </w:r>
          </w:p>
          <w:p w14:paraId="0622C1F1" w14:textId="6261C25A" w:rsidR="00B9552F" w:rsidRDefault="00B9552F" w:rsidP="00BB3E9F">
            <w:pPr>
              <w:spacing w:after="120"/>
              <w:rPr>
                <w:rFonts w:ascii="Arial" w:eastAsia="Calibri" w:hAnsi="Arial" w:cs="Arial"/>
                <w:sz w:val="18"/>
                <w:szCs w:val="18"/>
              </w:rPr>
            </w:pPr>
            <w:r>
              <w:rPr>
                <w:rFonts w:ascii="Arial" w:eastAsia="Calibri" w:hAnsi="Arial" w:cs="Arial"/>
                <w:sz w:val="18"/>
                <w:szCs w:val="18"/>
              </w:rPr>
              <w:t xml:space="preserve">Increased adherence to </w:t>
            </w:r>
            <w:r w:rsidR="0031055A">
              <w:rPr>
                <w:rFonts w:ascii="Arial" w:eastAsia="Calibri" w:hAnsi="Arial" w:cs="Arial"/>
                <w:sz w:val="18"/>
                <w:szCs w:val="18"/>
              </w:rPr>
              <w:t>medications</w:t>
            </w:r>
            <w:r>
              <w:rPr>
                <w:rFonts w:ascii="Arial" w:eastAsia="Calibri" w:hAnsi="Arial" w:cs="Arial"/>
                <w:sz w:val="18"/>
                <w:szCs w:val="18"/>
              </w:rPr>
              <w:t xml:space="preserve"> by patients following hospital discharge</w:t>
            </w:r>
          </w:p>
          <w:p w14:paraId="0C925D93" w14:textId="1EAD92A8" w:rsidR="00B9552F" w:rsidRPr="00BB3E9F" w:rsidRDefault="00B9552F" w:rsidP="00BB3E9F">
            <w:pPr>
              <w:spacing w:after="120"/>
              <w:rPr>
                <w:rFonts w:ascii="Arial" w:eastAsia="Calibri" w:hAnsi="Arial" w:cs="Arial"/>
                <w:sz w:val="18"/>
                <w:szCs w:val="18"/>
              </w:rPr>
            </w:pPr>
            <w:r>
              <w:rPr>
                <w:rFonts w:ascii="Arial" w:eastAsia="Calibri" w:hAnsi="Arial" w:cs="Arial"/>
                <w:sz w:val="18"/>
                <w:szCs w:val="18"/>
              </w:rPr>
              <w:t>Improved tracking on progress to addressing this important gap in care by the facility and NCDR registries</w:t>
            </w:r>
          </w:p>
          <w:p w14:paraId="6A1323B7" w14:textId="77777777" w:rsidR="00B9552F" w:rsidRDefault="00B9552F" w:rsidP="00BB3E9F">
            <w:pPr>
              <w:spacing w:after="120"/>
              <w:rPr>
                <w:rFonts w:ascii="Arial" w:eastAsia="Calibri" w:hAnsi="Arial" w:cs="Arial"/>
                <w:sz w:val="18"/>
                <w:szCs w:val="18"/>
                <w:u w:val="single"/>
              </w:rPr>
            </w:pPr>
            <w:r>
              <w:rPr>
                <w:rFonts w:ascii="Arial" w:eastAsia="Calibri" w:hAnsi="Arial" w:cs="Arial"/>
                <w:sz w:val="18"/>
                <w:szCs w:val="18"/>
                <w:u w:val="single"/>
              </w:rPr>
              <w:t>Long-term</w:t>
            </w:r>
          </w:p>
          <w:p w14:paraId="2719842F" w14:textId="77777777" w:rsidR="00B9552F" w:rsidRDefault="00B9552F" w:rsidP="00B9552F">
            <w:pPr>
              <w:spacing w:after="120"/>
              <w:rPr>
                <w:rFonts w:ascii="Arial" w:eastAsia="Calibri" w:hAnsi="Arial" w:cs="Arial"/>
                <w:sz w:val="18"/>
                <w:szCs w:val="18"/>
              </w:rPr>
            </w:pPr>
            <w:r>
              <w:rPr>
                <w:rFonts w:ascii="Arial" w:eastAsia="Calibri" w:hAnsi="Arial" w:cs="Arial"/>
                <w:sz w:val="18"/>
                <w:szCs w:val="18"/>
              </w:rPr>
              <w:t>Reductions in complications (e.g., recurrent MI) and morality</w:t>
            </w:r>
          </w:p>
          <w:p w14:paraId="15BA8D97" w14:textId="6A7F1D86" w:rsidR="00B9552F" w:rsidRPr="00B9552F" w:rsidRDefault="00B9552F" w:rsidP="00B9552F">
            <w:pPr>
              <w:spacing w:after="120"/>
              <w:rPr>
                <w:rFonts w:ascii="Arial" w:eastAsia="Calibri" w:hAnsi="Arial" w:cs="Arial"/>
                <w:sz w:val="18"/>
                <w:szCs w:val="18"/>
              </w:rPr>
            </w:pPr>
            <w:r>
              <w:rPr>
                <w:rFonts w:ascii="Arial" w:eastAsia="Calibri" w:hAnsi="Arial" w:cs="Arial"/>
                <w:sz w:val="18"/>
                <w:szCs w:val="18"/>
              </w:rPr>
              <w:t>Decrease in unnecessary costs</w:t>
            </w:r>
          </w:p>
        </w:tc>
      </w:tr>
    </w:tbl>
    <w:p w14:paraId="08CC5715" w14:textId="77777777" w:rsidR="00A81630" w:rsidRDefault="00A81630" w:rsidP="00C03B3F">
      <w:pPr>
        <w:spacing w:after="0" w:line="240" w:lineRule="auto"/>
        <w:rPr>
          <w:rFonts w:ascii="Arial" w:hAnsi="Arial" w:cs="Arial"/>
          <w:sz w:val="20"/>
          <w:szCs w:val="20"/>
        </w:rPr>
      </w:pPr>
    </w:p>
    <w:tbl>
      <w:tblPr>
        <w:tblStyle w:val="TableGrid"/>
        <w:tblW w:w="12968" w:type="dxa"/>
        <w:tblInd w:w="-8" w:type="dxa"/>
        <w:tblBorders>
          <w:top w:val="single" w:sz="6" w:space="0" w:color="auto"/>
          <w:left w:val="single" w:sz="6" w:space="0" w:color="auto"/>
          <w:bottom w:val="single" w:sz="6" w:space="0" w:color="auto"/>
          <w:right w:val="single" w:sz="6" w:space="0" w:color="auto"/>
        </w:tblBorders>
        <w:tblLayout w:type="fixed"/>
        <w:tblCellMar>
          <w:top w:w="58" w:type="dxa"/>
          <w:left w:w="58" w:type="dxa"/>
          <w:bottom w:w="58" w:type="dxa"/>
          <w:right w:w="58" w:type="dxa"/>
        </w:tblCellMar>
        <w:tblLook w:val="04A0" w:firstRow="1" w:lastRow="0" w:firstColumn="1" w:lastColumn="0" w:noHBand="0" w:noVBand="1"/>
      </w:tblPr>
      <w:tblGrid>
        <w:gridCol w:w="12968"/>
      </w:tblGrid>
      <w:tr w:rsidR="009A71B6" w:rsidRPr="00C04AA8" w14:paraId="43D97D9A" w14:textId="77777777" w:rsidTr="009A71B6">
        <w:trPr>
          <w:cantSplit/>
          <w:trHeight w:val="157"/>
        </w:trPr>
        <w:tc>
          <w:tcPr>
            <w:tcW w:w="12968" w:type="dxa"/>
            <w:shd w:val="clear" w:color="auto" w:fill="E9F4F7"/>
            <w:tcMar>
              <w:top w:w="58" w:type="dxa"/>
              <w:left w:w="58" w:type="dxa"/>
              <w:bottom w:w="58" w:type="dxa"/>
              <w:right w:w="58" w:type="dxa"/>
            </w:tcMar>
            <w:vAlign w:val="center"/>
          </w:tcPr>
          <w:p w14:paraId="2403E0F3" w14:textId="77777777" w:rsidR="009A71B6" w:rsidRPr="00C04AA8" w:rsidRDefault="009A71B6" w:rsidP="001C67BE">
            <w:pPr>
              <w:rPr>
                <w:rFonts w:ascii="Arial" w:eastAsia="Calibri" w:hAnsi="Arial" w:cs="Arial"/>
                <w:sz w:val="20"/>
                <w:szCs w:val="20"/>
              </w:rPr>
            </w:pPr>
            <w:r w:rsidRPr="00C04AA8">
              <w:rPr>
                <w:rFonts w:ascii="Arial" w:eastAsia="Times New Roman" w:hAnsi="Arial" w:cs="Arial"/>
                <w:b/>
                <w:bCs/>
                <w:sz w:val="20"/>
                <w:szCs w:val="20"/>
              </w:rPr>
              <w:t>Feedback Mechanisms</w:t>
            </w:r>
          </w:p>
        </w:tc>
      </w:tr>
      <w:tr w:rsidR="009A71B6" w:rsidRPr="00C04AA8" w14:paraId="68E1F2A0" w14:textId="77777777" w:rsidTr="009A71B6">
        <w:trPr>
          <w:cantSplit/>
          <w:trHeight w:val="288"/>
        </w:trPr>
        <w:tc>
          <w:tcPr>
            <w:tcW w:w="12968" w:type="dxa"/>
            <w:tcMar>
              <w:top w:w="58" w:type="dxa"/>
              <w:left w:w="58" w:type="dxa"/>
              <w:bottom w:w="58" w:type="dxa"/>
              <w:right w:w="58" w:type="dxa"/>
            </w:tcMar>
          </w:tcPr>
          <w:p w14:paraId="214F4F48" w14:textId="77777777" w:rsidR="009A71B6" w:rsidRDefault="006C1662" w:rsidP="006C1662">
            <w:pPr>
              <w:spacing w:after="120"/>
              <w:rPr>
                <w:rFonts w:ascii="Arial" w:eastAsia="Calibri" w:hAnsi="Arial" w:cs="Arial"/>
                <w:sz w:val="18"/>
                <w:szCs w:val="18"/>
              </w:rPr>
            </w:pPr>
            <w:r>
              <w:rPr>
                <w:rFonts w:ascii="Arial" w:eastAsia="Calibri" w:hAnsi="Arial" w:cs="Arial"/>
                <w:sz w:val="18"/>
                <w:szCs w:val="18"/>
              </w:rPr>
              <w:t>Data analysis and performance reports produced by the facility and/or NCDR registries</w:t>
            </w:r>
          </w:p>
          <w:p w14:paraId="113FE9FE" w14:textId="77777777" w:rsidR="006C1662" w:rsidRDefault="006C1662" w:rsidP="006C1662">
            <w:pPr>
              <w:spacing w:after="120"/>
              <w:rPr>
                <w:rFonts w:ascii="Arial" w:eastAsia="Calibri" w:hAnsi="Arial" w:cs="Arial"/>
                <w:sz w:val="18"/>
                <w:szCs w:val="18"/>
              </w:rPr>
            </w:pPr>
            <w:r>
              <w:rPr>
                <w:rFonts w:ascii="Arial" w:eastAsia="Calibri" w:hAnsi="Arial" w:cs="Arial"/>
                <w:sz w:val="18"/>
                <w:szCs w:val="18"/>
              </w:rPr>
              <w:t>Quality improvement activities and reporting of progress on outputs to clinicians and staff</w:t>
            </w:r>
          </w:p>
          <w:p w14:paraId="09B4670C" w14:textId="47416F7A" w:rsidR="006C1662" w:rsidRPr="00C04AA8" w:rsidRDefault="006C1662" w:rsidP="006C1662">
            <w:pPr>
              <w:spacing w:after="120"/>
              <w:rPr>
                <w:rFonts w:ascii="Arial" w:eastAsia="Calibri" w:hAnsi="Arial" w:cs="Arial"/>
                <w:sz w:val="18"/>
                <w:szCs w:val="18"/>
              </w:rPr>
            </w:pPr>
            <w:r>
              <w:rPr>
                <w:rFonts w:ascii="Arial" w:eastAsia="Calibri" w:hAnsi="Arial" w:cs="Arial"/>
                <w:sz w:val="18"/>
                <w:szCs w:val="18"/>
              </w:rPr>
              <w:t>Patient satisfaction surveys</w:t>
            </w:r>
          </w:p>
        </w:tc>
      </w:tr>
      <w:tr w:rsidR="009A71B6" w:rsidRPr="00C04AA8" w14:paraId="29DAF187" w14:textId="77777777" w:rsidTr="009A71B6">
        <w:trPr>
          <w:cantSplit/>
        </w:trPr>
        <w:tc>
          <w:tcPr>
            <w:tcW w:w="12968" w:type="dxa"/>
            <w:shd w:val="clear" w:color="auto" w:fill="E9F4F7"/>
            <w:tcMar>
              <w:top w:w="58" w:type="dxa"/>
              <w:left w:w="58" w:type="dxa"/>
              <w:bottom w:w="58" w:type="dxa"/>
              <w:right w:w="58" w:type="dxa"/>
            </w:tcMar>
            <w:vAlign w:val="center"/>
          </w:tcPr>
          <w:p w14:paraId="3F25D7F7" w14:textId="77777777" w:rsidR="009A71B6" w:rsidRPr="00C04AA8" w:rsidRDefault="009A71B6" w:rsidP="001C67BE">
            <w:pPr>
              <w:rPr>
                <w:rFonts w:ascii="Arial" w:eastAsia="Calibri" w:hAnsi="Arial" w:cs="Arial"/>
                <w:sz w:val="20"/>
                <w:szCs w:val="20"/>
              </w:rPr>
            </w:pPr>
            <w:r w:rsidRPr="00C04AA8">
              <w:rPr>
                <w:rFonts w:ascii="Arial" w:eastAsia="Times New Roman" w:hAnsi="Arial" w:cs="Arial"/>
                <w:b/>
                <w:bCs/>
                <w:sz w:val="20"/>
                <w:szCs w:val="20"/>
              </w:rPr>
              <w:lastRenderedPageBreak/>
              <w:t>Assumptions</w:t>
            </w:r>
          </w:p>
        </w:tc>
      </w:tr>
      <w:tr w:rsidR="009A71B6" w:rsidRPr="00C04AA8" w14:paraId="2D589FC9" w14:textId="77777777" w:rsidTr="009A71B6">
        <w:trPr>
          <w:cantSplit/>
          <w:trHeight w:val="288"/>
        </w:trPr>
        <w:tc>
          <w:tcPr>
            <w:tcW w:w="12968" w:type="dxa"/>
            <w:tcMar>
              <w:top w:w="58" w:type="dxa"/>
              <w:left w:w="58" w:type="dxa"/>
              <w:bottom w:w="58" w:type="dxa"/>
              <w:right w:w="58" w:type="dxa"/>
            </w:tcMar>
          </w:tcPr>
          <w:p w14:paraId="0C239F9F" w14:textId="23E4CB96" w:rsidR="00984CA4" w:rsidRDefault="00984CA4" w:rsidP="00984CA4">
            <w:pPr>
              <w:spacing w:after="120"/>
              <w:rPr>
                <w:rFonts w:ascii="Arial" w:eastAsia="Calibri" w:hAnsi="Arial" w:cs="Arial"/>
                <w:sz w:val="18"/>
                <w:szCs w:val="18"/>
              </w:rPr>
            </w:pPr>
            <w:r>
              <w:rPr>
                <w:rFonts w:ascii="Arial" w:eastAsia="Calibri" w:hAnsi="Arial" w:cs="Arial"/>
                <w:sz w:val="18"/>
                <w:szCs w:val="18"/>
              </w:rPr>
              <w:t xml:space="preserve">Systems have access to high-quality EHRs data and computational resources to support the capture and analysis of </w:t>
            </w:r>
            <w:r w:rsidR="0031055A">
              <w:rPr>
                <w:rFonts w:ascii="Arial" w:eastAsia="Calibri" w:hAnsi="Arial" w:cs="Arial"/>
                <w:sz w:val="18"/>
                <w:szCs w:val="18"/>
              </w:rPr>
              <w:t>prescription rates</w:t>
            </w:r>
            <w:r>
              <w:rPr>
                <w:rFonts w:ascii="Arial" w:eastAsia="Calibri" w:hAnsi="Arial" w:cs="Arial"/>
                <w:sz w:val="18"/>
                <w:szCs w:val="18"/>
              </w:rPr>
              <w:t xml:space="preserve">. </w:t>
            </w:r>
          </w:p>
          <w:p w14:paraId="4F7096DE" w14:textId="3FA4FB2F" w:rsidR="009A71B6" w:rsidRPr="00C04AA8" w:rsidRDefault="00984CA4" w:rsidP="00984CA4">
            <w:pPr>
              <w:spacing w:after="120"/>
              <w:rPr>
                <w:rFonts w:ascii="Arial" w:eastAsia="Calibri" w:hAnsi="Arial" w:cs="Arial"/>
                <w:sz w:val="18"/>
                <w:szCs w:val="18"/>
              </w:rPr>
            </w:pPr>
            <w:r>
              <w:rPr>
                <w:rFonts w:ascii="Arial" w:eastAsia="Calibri" w:hAnsi="Arial" w:cs="Arial"/>
                <w:sz w:val="18"/>
                <w:szCs w:val="18"/>
              </w:rPr>
              <w:t xml:space="preserve">Feedback on performance of this measure will increase </w:t>
            </w:r>
            <w:r w:rsidR="0031055A">
              <w:rPr>
                <w:rFonts w:ascii="Arial" w:eastAsia="Calibri" w:hAnsi="Arial" w:cs="Arial"/>
                <w:sz w:val="18"/>
                <w:szCs w:val="18"/>
              </w:rPr>
              <w:t xml:space="preserve">prescription </w:t>
            </w:r>
            <w:r>
              <w:rPr>
                <w:rFonts w:ascii="Arial" w:eastAsia="Calibri" w:hAnsi="Arial" w:cs="Arial"/>
                <w:sz w:val="18"/>
                <w:szCs w:val="18"/>
              </w:rPr>
              <w:t>rates and ultimately improve patient outcomes and quality of life.</w:t>
            </w:r>
          </w:p>
        </w:tc>
      </w:tr>
      <w:tr w:rsidR="009A71B6" w:rsidRPr="00C04AA8" w14:paraId="024CE736" w14:textId="77777777" w:rsidTr="009A71B6">
        <w:trPr>
          <w:cantSplit/>
          <w:trHeight w:val="238"/>
        </w:trPr>
        <w:tc>
          <w:tcPr>
            <w:tcW w:w="12968" w:type="dxa"/>
            <w:shd w:val="clear" w:color="auto" w:fill="E9F4F7"/>
            <w:tcMar>
              <w:top w:w="58" w:type="dxa"/>
              <w:left w:w="58" w:type="dxa"/>
              <w:bottom w:w="58" w:type="dxa"/>
              <w:right w:w="58" w:type="dxa"/>
            </w:tcMar>
            <w:vAlign w:val="center"/>
          </w:tcPr>
          <w:p w14:paraId="3BF6B364" w14:textId="77777777" w:rsidR="009A71B6" w:rsidRPr="00C04AA8" w:rsidRDefault="009A71B6" w:rsidP="001C67BE">
            <w:pPr>
              <w:rPr>
                <w:rFonts w:ascii="Arial" w:eastAsia="Calibri" w:hAnsi="Arial" w:cs="Arial"/>
                <w:sz w:val="20"/>
                <w:szCs w:val="20"/>
              </w:rPr>
            </w:pPr>
            <w:r w:rsidRPr="00C04AA8">
              <w:rPr>
                <w:rFonts w:ascii="Arial" w:eastAsia="Times New Roman" w:hAnsi="Arial" w:cs="Arial"/>
                <w:b/>
                <w:bCs/>
                <w:sz w:val="20"/>
                <w:szCs w:val="20"/>
              </w:rPr>
              <w:t>External Factors</w:t>
            </w:r>
          </w:p>
        </w:tc>
      </w:tr>
      <w:tr w:rsidR="009A71B6" w:rsidRPr="00C04AA8" w14:paraId="76675FFC" w14:textId="77777777" w:rsidTr="009A71B6">
        <w:trPr>
          <w:cantSplit/>
          <w:trHeight w:val="288"/>
        </w:trPr>
        <w:tc>
          <w:tcPr>
            <w:tcW w:w="12968" w:type="dxa"/>
            <w:shd w:val="clear" w:color="auto" w:fill="auto"/>
            <w:tcMar>
              <w:top w:w="58" w:type="dxa"/>
              <w:left w:w="58" w:type="dxa"/>
              <w:bottom w:w="58" w:type="dxa"/>
              <w:right w:w="58" w:type="dxa"/>
            </w:tcMar>
            <w:vAlign w:val="center"/>
          </w:tcPr>
          <w:p w14:paraId="7F2C6435" w14:textId="4363E64A" w:rsidR="009A71B6" w:rsidRDefault="0031055A" w:rsidP="00984CA4">
            <w:pPr>
              <w:spacing w:after="120"/>
              <w:rPr>
                <w:rFonts w:ascii="Arial" w:eastAsia="Calibri" w:hAnsi="Arial" w:cs="Arial"/>
                <w:sz w:val="18"/>
                <w:szCs w:val="18"/>
              </w:rPr>
            </w:pPr>
            <w:r>
              <w:rPr>
                <w:rFonts w:ascii="Arial" w:eastAsia="Calibri" w:hAnsi="Arial" w:cs="Arial"/>
                <w:sz w:val="18"/>
                <w:szCs w:val="18"/>
              </w:rPr>
              <w:t>Complimentary measures focused on secondary prevention in the ambulatory care setting will be important to ensure patient adherence</w:t>
            </w:r>
            <w:r w:rsidR="00984CA4">
              <w:rPr>
                <w:rFonts w:ascii="Arial" w:eastAsia="Calibri" w:hAnsi="Arial" w:cs="Arial"/>
                <w:sz w:val="18"/>
                <w:szCs w:val="18"/>
              </w:rPr>
              <w:t xml:space="preserve">. </w:t>
            </w:r>
          </w:p>
          <w:p w14:paraId="5B4EBAF6" w14:textId="44009C42" w:rsidR="00984CA4" w:rsidRPr="00C04AA8" w:rsidRDefault="00984CA4" w:rsidP="00984CA4">
            <w:pPr>
              <w:spacing w:after="120"/>
              <w:rPr>
                <w:rFonts w:ascii="Arial" w:eastAsia="Calibri" w:hAnsi="Arial" w:cs="Arial"/>
                <w:sz w:val="18"/>
                <w:szCs w:val="18"/>
              </w:rPr>
            </w:pPr>
            <w:r>
              <w:rPr>
                <w:rFonts w:ascii="Arial" w:eastAsia="Calibri" w:hAnsi="Arial" w:cs="Arial"/>
                <w:sz w:val="18"/>
                <w:szCs w:val="18"/>
              </w:rPr>
              <w:t>Policies and clinician attitudes regarding measures could affect the outcomes identified above.</w:t>
            </w:r>
          </w:p>
        </w:tc>
      </w:tr>
    </w:tbl>
    <w:p w14:paraId="1215564D" w14:textId="77777777" w:rsidR="009A71B6" w:rsidRPr="008D7C4E" w:rsidRDefault="009A71B6" w:rsidP="00643F09">
      <w:pPr>
        <w:spacing w:after="120" w:line="240" w:lineRule="auto"/>
        <w:rPr>
          <w:rFonts w:ascii="Arial" w:hAnsi="Arial" w:cs="Arial"/>
          <w:color w:val="000000" w:themeColor="text1"/>
          <w:sz w:val="20"/>
          <w:szCs w:val="20"/>
        </w:rPr>
      </w:pPr>
    </w:p>
    <w:p w14:paraId="5C947DE8" w14:textId="44F69C3F" w:rsidR="00734194" w:rsidRPr="008D7C4E" w:rsidRDefault="006C1662" w:rsidP="00643F09">
      <w:pPr>
        <w:spacing w:after="120" w:line="240" w:lineRule="auto"/>
        <w:rPr>
          <w:rFonts w:ascii="Arial" w:hAnsi="Arial" w:cs="Arial"/>
          <w:b/>
          <w:bCs/>
          <w:color w:val="000000" w:themeColor="text1"/>
          <w:sz w:val="20"/>
          <w:szCs w:val="20"/>
        </w:rPr>
      </w:pPr>
      <w:r w:rsidRPr="008D7C4E">
        <w:rPr>
          <w:rFonts w:ascii="Arial" w:hAnsi="Arial" w:cs="Arial"/>
          <w:b/>
          <w:bCs/>
          <w:color w:val="000000" w:themeColor="text1"/>
          <w:sz w:val="20"/>
          <w:szCs w:val="20"/>
        </w:rPr>
        <w:t>References:</w:t>
      </w:r>
    </w:p>
    <w:p w14:paraId="58E323FF" w14:textId="53592032" w:rsidR="00167670" w:rsidRPr="00167670" w:rsidRDefault="00167670" w:rsidP="00167670">
      <w:pPr>
        <w:spacing w:after="120" w:line="240" w:lineRule="auto"/>
        <w:rPr>
          <w:rFonts w:ascii="Arial" w:hAnsi="Arial" w:cs="Arial"/>
          <w:sz w:val="20"/>
          <w:szCs w:val="20"/>
        </w:rPr>
      </w:pPr>
      <w:r w:rsidRPr="00167670">
        <w:rPr>
          <w:rFonts w:ascii="Arial" w:hAnsi="Arial" w:cs="Arial"/>
          <w:sz w:val="20"/>
          <w:szCs w:val="20"/>
        </w:rPr>
        <w:t xml:space="preserve">Antithrombotic Trialists' Collaboration. Collaborative meta-analysis of randomised trials of antiplatelet therapy for prevention of death, myocardial infarction, and stroke in high risk patients [published correction appears in BMJ 2002 Jan 19;324(7330):141]. </w:t>
      </w:r>
      <w:r w:rsidRPr="00167670">
        <w:rPr>
          <w:rFonts w:ascii="Arial" w:hAnsi="Arial" w:cs="Arial"/>
          <w:i/>
          <w:iCs/>
          <w:sz w:val="20"/>
          <w:szCs w:val="20"/>
        </w:rPr>
        <w:t>BMJ</w:t>
      </w:r>
      <w:r w:rsidRPr="00167670">
        <w:rPr>
          <w:rFonts w:ascii="Arial" w:hAnsi="Arial" w:cs="Arial"/>
          <w:sz w:val="20"/>
          <w:szCs w:val="20"/>
        </w:rPr>
        <w:t>. 2002;324(7329):71-86. doi:10.1136/bmj.324.7329.71</w:t>
      </w:r>
    </w:p>
    <w:p w14:paraId="1CE8C47B" w14:textId="77777777" w:rsidR="00167670" w:rsidRPr="00167670" w:rsidRDefault="00167670" w:rsidP="00167670">
      <w:pPr>
        <w:spacing w:after="120" w:line="240" w:lineRule="auto"/>
        <w:rPr>
          <w:rFonts w:ascii="Arial" w:hAnsi="Arial" w:cs="Arial"/>
          <w:sz w:val="20"/>
          <w:szCs w:val="20"/>
        </w:rPr>
      </w:pPr>
      <w:r w:rsidRPr="00167670">
        <w:rPr>
          <w:rFonts w:ascii="Arial" w:hAnsi="Arial" w:cs="Arial"/>
          <w:sz w:val="20"/>
          <w:szCs w:val="20"/>
        </w:rPr>
        <w:t xml:space="preserve">Antithrombotic Trialists' (ATT) Collaboration, Baigent C, Blackwell L, et al. Aspirin in the primary and secondary prevention of vascular disease: collaborative meta-analysis of individual participant data from randomised trials. </w:t>
      </w:r>
      <w:r w:rsidRPr="00167670">
        <w:rPr>
          <w:rFonts w:ascii="Arial" w:hAnsi="Arial" w:cs="Arial"/>
          <w:i/>
          <w:iCs/>
          <w:sz w:val="20"/>
          <w:szCs w:val="20"/>
        </w:rPr>
        <w:t>Lancet</w:t>
      </w:r>
      <w:r w:rsidRPr="00167670">
        <w:rPr>
          <w:rFonts w:ascii="Arial" w:hAnsi="Arial" w:cs="Arial"/>
          <w:sz w:val="20"/>
          <w:szCs w:val="20"/>
        </w:rPr>
        <w:t>. 2009;373(9678):1849-1860. doi:10.1016/S0140-6736(09)60503-1</w:t>
      </w:r>
    </w:p>
    <w:p w14:paraId="28C66A2B" w14:textId="77777777" w:rsidR="00167670" w:rsidRPr="00167670" w:rsidRDefault="00167670" w:rsidP="00167670">
      <w:pPr>
        <w:spacing w:after="120" w:line="240" w:lineRule="auto"/>
        <w:rPr>
          <w:rFonts w:ascii="Arial" w:hAnsi="Arial" w:cs="Arial"/>
          <w:sz w:val="20"/>
          <w:szCs w:val="20"/>
        </w:rPr>
      </w:pPr>
    </w:p>
    <w:p w14:paraId="6031E8DF" w14:textId="25694A6E" w:rsidR="00167670" w:rsidRPr="00167670" w:rsidRDefault="00167670" w:rsidP="00167670">
      <w:pPr>
        <w:spacing w:after="120" w:line="240" w:lineRule="auto"/>
        <w:rPr>
          <w:rFonts w:ascii="Arial" w:hAnsi="Arial" w:cs="Arial"/>
          <w:sz w:val="20"/>
          <w:szCs w:val="20"/>
        </w:rPr>
      </w:pPr>
      <w:r w:rsidRPr="00167670">
        <w:rPr>
          <w:rFonts w:ascii="Arial" w:hAnsi="Arial" w:cs="Arial"/>
          <w:sz w:val="20"/>
          <w:szCs w:val="20"/>
        </w:rPr>
        <w:t xml:space="preserve">Cholesterol Treatment Trialists’ (CTT) Collaboration, Baigent C, Blackwell L, et al. Efficacy and safety of more intensive lowering of LDL cholesterol: a meta-analysis of data from 170,000 participants in 26 randomised trials. </w:t>
      </w:r>
      <w:r w:rsidRPr="00167670">
        <w:rPr>
          <w:rFonts w:ascii="Arial" w:hAnsi="Arial" w:cs="Arial"/>
          <w:i/>
          <w:iCs/>
          <w:sz w:val="20"/>
          <w:szCs w:val="20"/>
        </w:rPr>
        <w:t>Lancet</w:t>
      </w:r>
      <w:r w:rsidRPr="00167670">
        <w:rPr>
          <w:rFonts w:ascii="Arial" w:hAnsi="Arial" w:cs="Arial"/>
          <w:sz w:val="20"/>
          <w:szCs w:val="20"/>
        </w:rPr>
        <w:t>. 2010;376(9753):1670-1681. doi:10.1016/S0140-6736(10)61350-5</w:t>
      </w:r>
    </w:p>
    <w:p w14:paraId="524BC4B1" w14:textId="55A13B35" w:rsidR="00167670" w:rsidRPr="00167670" w:rsidRDefault="00167670" w:rsidP="00167670">
      <w:pPr>
        <w:spacing w:after="120" w:line="240" w:lineRule="auto"/>
        <w:rPr>
          <w:rFonts w:ascii="Arial" w:hAnsi="Arial" w:cs="Arial"/>
          <w:sz w:val="20"/>
          <w:szCs w:val="20"/>
        </w:rPr>
      </w:pPr>
      <w:r w:rsidRPr="00167670">
        <w:rPr>
          <w:rFonts w:ascii="Arial" w:hAnsi="Arial" w:cs="Arial"/>
          <w:sz w:val="20"/>
          <w:szCs w:val="20"/>
        </w:rPr>
        <w:t xml:space="preserve">Cholesterol Treatment Trialists' Collaboration. Efficacy and safety of statin therapy in older people: a meta-analysis of individual participant data from 28 randomised controlled trials. </w:t>
      </w:r>
      <w:r w:rsidRPr="00167670">
        <w:rPr>
          <w:rFonts w:ascii="Arial" w:hAnsi="Arial" w:cs="Arial"/>
          <w:i/>
          <w:iCs/>
          <w:sz w:val="20"/>
          <w:szCs w:val="20"/>
        </w:rPr>
        <w:t>Lancet</w:t>
      </w:r>
      <w:r w:rsidRPr="00167670">
        <w:rPr>
          <w:rFonts w:ascii="Arial" w:hAnsi="Arial" w:cs="Arial"/>
          <w:sz w:val="20"/>
          <w:szCs w:val="20"/>
        </w:rPr>
        <w:t>. 2019;393(10170):407-415. doi:10.1016/S0140-6736(18)31942-1</w:t>
      </w:r>
    </w:p>
    <w:p w14:paraId="1B242B7E" w14:textId="7D162548" w:rsidR="00167670" w:rsidRPr="00167670" w:rsidRDefault="00167670" w:rsidP="00167670">
      <w:pPr>
        <w:spacing w:after="120" w:line="240" w:lineRule="auto"/>
        <w:rPr>
          <w:rFonts w:ascii="Arial" w:hAnsi="Arial" w:cs="Arial"/>
          <w:sz w:val="20"/>
          <w:szCs w:val="20"/>
        </w:rPr>
      </w:pPr>
      <w:r w:rsidRPr="00167670">
        <w:rPr>
          <w:rFonts w:ascii="Arial" w:hAnsi="Arial" w:cs="Arial"/>
          <w:sz w:val="20"/>
          <w:szCs w:val="20"/>
        </w:rPr>
        <w:t xml:space="preserve">Khan SU, Singh M, Valavoor S, et al. Dual Antiplatelet Therapy After Percutaneous Coronary Intervention and Drug-Eluting Stents: A Systematic Review and Network Meta-Analysis. </w:t>
      </w:r>
      <w:r w:rsidRPr="00167670">
        <w:rPr>
          <w:rFonts w:ascii="Arial" w:hAnsi="Arial" w:cs="Arial"/>
          <w:i/>
          <w:iCs/>
          <w:sz w:val="20"/>
          <w:szCs w:val="20"/>
        </w:rPr>
        <w:t>Circulation</w:t>
      </w:r>
      <w:r w:rsidRPr="00167670">
        <w:rPr>
          <w:rFonts w:ascii="Arial" w:hAnsi="Arial" w:cs="Arial"/>
          <w:sz w:val="20"/>
          <w:szCs w:val="20"/>
        </w:rPr>
        <w:t>. 2020;142(15):1425-1436. doi:10.1161/CIRCULATIONAHA.120.046308</w:t>
      </w:r>
    </w:p>
    <w:p w14:paraId="5AEA9C2C" w14:textId="55A5403D" w:rsidR="006C1662" w:rsidRPr="00643F09" w:rsidRDefault="00167670" w:rsidP="00167670">
      <w:pPr>
        <w:spacing w:after="120" w:line="240" w:lineRule="auto"/>
        <w:rPr>
          <w:rFonts w:ascii="Arial" w:hAnsi="Arial" w:cs="Arial"/>
          <w:sz w:val="20"/>
          <w:szCs w:val="20"/>
        </w:rPr>
      </w:pPr>
      <w:r w:rsidRPr="00167670">
        <w:rPr>
          <w:rFonts w:ascii="Arial" w:hAnsi="Arial" w:cs="Arial"/>
          <w:sz w:val="20"/>
          <w:szCs w:val="20"/>
        </w:rPr>
        <w:t xml:space="preserve">Palmerini T, Benedetto U, Bacchi-Reggiani L, et al. Mortality in patients treated with extended duration dual antiplatelet therapy after drug-eluting stent implantation: a pairwise and Bayesian network meta-analysis of randomised trials. </w:t>
      </w:r>
      <w:r w:rsidRPr="00167670">
        <w:rPr>
          <w:rFonts w:ascii="Arial" w:hAnsi="Arial" w:cs="Arial"/>
          <w:i/>
          <w:iCs/>
          <w:sz w:val="20"/>
          <w:szCs w:val="20"/>
        </w:rPr>
        <w:t>Lancet</w:t>
      </w:r>
      <w:r w:rsidRPr="00167670">
        <w:rPr>
          <w:rFonts w:ascii="Arial" w:hAnsi="Arial" w:cs="Arial"/>
          <w:sz w:val="20"/>
          <w:szCs w:val="20"/>
        </w:rPr>
        <w:t>. 2015;385(9985):2371-2382. doi:10.1016/S0140-6736(15)60263-X</w:t>
      </w:r>
    </w:p>
    <w:sectPr w:rsidR="006C1662" w:rsidRPr="00643F09" w:rsidSect="00C04AA8">
      <w:headerReference w:type="default" r:id="rId10"/>
      <w:footerReference w:type="default" r:id="rId1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4E10E" w14:textId="77777777" w:rsidR="005D2D91" w:rsidRDefault="005D2D91" w:rsidP="00A81630">
      <w:pPr>
        <w:spacing w:after="0" w:line="240" w:lineRule="auto"/>
      </w:pPr>
      <w:r>
        <w:separator/>
      </w:r>
    </w:p>
  </w:endnote>
  <w:endnote w:type="continuationSeparator" w:id="0">
    <w:p w14:paraId="66964A22" w14:textId="77777777" w:rsidR="005D2D91" w:rsidRDefault="005D2D91" w:rsidP="00A81630">
      <w:pPr>
        <w:spacing w:after="0" w:line="240" w:lineRule="auto"/>
      </w:pPr>
      <w:r>
        <w:continuationSeparator/>
      </w:r>
    </w:p>
  </w:endnote>
  <w:endnote w:type="continuationNotice" w:id="1">
    <w:p w14:paraId="5531FEEA" w14:textId="77777777" w:rsidR="005D2D91" w:rsidRDefault="005D2D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moder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0384B" w14:textId="263E771D" w:rsidR="00C130E4" w:rsidRPr="002167F8" w:rsidRDefault="002167F8" w:rsidP="002167F8">
    <w:pPr>
      <w:pStyle w:val="Footer"/>
    </w:pPr>
    <w:r w:rsidRPr="005E3C76">
      <w:rPr>
        <w:rFonts w:ascii="Arial" w:hAnsi="Arial" w:cs="Arial"/>
        <w:sz w:val="20"/>
        <w:szCs w:val="20"/>
      </w:rPr>
      <w:t>Battelle | Version 1.0 | January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1B3F6" w14:textId="77777777" w:rsidR="005D2D91" w:rsidRDefault="005D2D91" w:rsidP="00A81630">
      <w:pPr>
        <w:spacing w:after="0" w:line="240" w:lineRule="auto"/>
      </w:pPr>
      <w:r>
        <w:separator/>
      </w:r>
    </w:p>
  </w:footnote>
  <w:footnote w:type="continuationSeparator" w:id="0">
    <w:p w14:paraId="5D86D557" w14:textId="77777777" w:rsidR="005D2D91" w:rsidRDefault="005D2D91" w:rsidP="00A81630">
      <w:pPr>
        <w:spacing w:after="0" w:line="240" w:lineRule="auto"/>
      </w:pPr>
      <w:r>
        <w:continuationSeparator/>
      </w:r>
    </w:p>
  </w:footnote>
  <w:footnote w:type="continuationNotice" w:id="1">
    <w:p w14:paraId="3210472C" w14:textId="77777777" w:rsidR="005D2D91" w:rsidRDefault="005D2D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6F33B" w14:textId="2AD32FF0" w:rsidR="00A81630" w:rsidRPr="00B30078" w:rsidRDefault="00CB1BEF" w:rsidP="00CB1BEF">
    <w:pPr>
      <w:spacing w:after="0" w:line="240" w:lineRule="auto"/>
      <w:rPr>
        <w:rFonts w:ascii="Arial" w:hAnsi="Arial" w:cs="Arial"/>
      </w:rPr>
    </w:pPr>
    <w:r>
      <w:rPr>
        <w:noProof/>
      </w:rPr>
      <w:drawing>
        <wp:anchor distT="0" distB="0" distL="114300" distR="114300" simplePos="0" relativeHeight="251658240" behindDoc="0" locked="0" layoutInCell="1" allowOverlap="1" wp14:anchorId="0A2A3F94" wp14:editId="4203E206">
          <wp:simplePos x="0" y="0"/>
          <wp:positionH relativeFrom="margin">
            <wp:align>right</wp:align>
          </wp:positionH>
          <wp:positionV relativeFrom="paragraph">
            <wp:posOffset>-178435</wp:posOffset>
          </wp:positionV>
          <wp:extent cx="1876425" cy="415199"/>
          <wp:effectExtent l="0" t="0" r="0" b="4445"/>
          <wp:wrapNone/>
          <wp:docPr id="12935416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6425" cy="41519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B1BE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5F5B67"/>
    <w:multiLevelType w:val="hybridMultilevel"/>
    <w:tmpl w:val="58BECFC8"/>
    <w:lvl w:ilvl="0" w:tplc="ABBCC41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97598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AA8"/>
    <w:rsid w:val="00000251"/>
    <w:rsid w:val="00002BCF"/>
    <w:rsid w:val="00007B6B"/>
    <w:rsid w:val="00016430"/>
    <w:rsid w:val="000301BB"/>
    <w:rsid w:val="00067944"/>
    <w:rsid w:val="000D6A4D"/>
    <w:rsid w:val="000E2319"/>
    <w:rsid w:val="000F4EF3"/>
    <w:rsid w:val="00113B0B"/>
    <w:rsid w:val="00167670"/>
    <w:rsid w:val="00171F56"/>
    <w:rsid w:val="001F4A49"/>
    <w:rsid w:val="00201B38"/>
    <w:rsid w:val="002167F8"/>
    <w:rsid w:val="002B5824"/>
    <w:rsid w:val="002D5426"/>
    <w:rsid w:val="0031055A"/>
    <w:rsid w:val="00313E95"/>
    <w:rsid w:val="00340A2B"/>
    <w:rsid w:val="00353E73"/>
    <w:rsid w:val="003605C5"/>
    <w:rsid w:val="00496721"/>
    <w:rsid w:val="004B542A"/>
    <w:rsid w:val="004C4E8D"/>
    <w:rsid w:val="004C4FA7"/>
    <w:rsid w:val="004F72DF"/>
    <w:rsid w:val="00527214"/>
    <w:rsid w:val="00535096"/>
    <w:rsid w:val="005450AE"/>
    <w:rsid w:val="0056259E"/>
    <w:rsid w:val="00571A97"/>
    <w:rsid w:val="005D2D91"/>
    <w:rsid w:val="00643F09"/>
    <w:rsid w:val="006600E3"/>
    <w:rsid w:val="006651F4"/>
    <w:rsid w:val="006957FE"/>
    <w:rsid w:val="006A702D"/>
    <w:rsid w:val="006C1662"/>
    <w:rsid w:val="00734194"/>
    <w:rsid w:val="00740D42"/>
    <w:rsid w:val="00753E78"/>
    <w:rsid w:val="00755BA3"/>
    <w:rsid w:val="00826780"/>
    <w:rsid w:val="00832F07"/>
    <w:rsid w:val="008C1032"/>
    <w:rsid w:val="008C20B7"/>
    <w:rsid w:val="008D7C4E"/>
    <w:rsid w:val="008E5ED0"/>
    <w:rsid w:val="009100AB"/>
    <w:rsid w:val="009315A5"/>
    <w:rsid w:val="0094169E"/>
    <w:rsid w:val="00947F44"/>
    <w:rsid w:val="00984CA4"/>
    <w:rsid w:val="009A71B6"/>
    <w:rsid w:val="009B18EE"/>
    <w:rsid w:val="00A27888"/>
    <w:rsid w:val="00A315F5"/>
    <w:rsid w:val="00A521DE"/>
    <w:rsid w:val="00A81630"/>
    <w:rsid w:val="00AE40BD"/>
    <w:rsid w:val="00B30078"/>
    <w:rsid w:val="00B33DB2"/>
    <w:rsid w:val="00B504E7"/>
    <w:rsid w:val="00B9552F"/>
    <w:rsid w:val="00BB3E9F"/>
    <w:rsid w:val="00BF199B"/>
    <w:rsid w:val="00C03B3F"/>
    <w:rsid w:val="00C04AA8"/>
    <w:rsid w:val="00C130E4"/>
    <w:rsid w:val="00C16482"/>
    <w:rsid w:val="00CA05F5"/>
    <w:rsid w:val="00CB1BEF"/>
    <w:rsid w:val="00D5538A"/>
    <w:rsid w:val="00D8660D"/>
    <w:rsid w:val="00E00AED"/>
    <w:rsid w:val="00E12CDE"/>
    <w:rsid w:val="00E33164"/>
    <w:rsid w:val="00E50275"/>
    <w:rsid w:val="00E9137B"/>
    <w:rsid w:val="00EC0664"/>
    <w:rsid w:val="00F64BBB"/>
    <w:rsid w:val="00F84A62"/>
    <w:rsid w:val="00F90C32"/>
    <w:rsid w:val="00FF052C"/>
    <w:rsid w:val="0C5BDD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8E7C4"/>
  <w15:chartTrackingRefBased/>
  <w15:docId w15:val="{32BB9E1D-9C3D-4FCA-BC25-058B0FD60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4A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04A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4A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4AA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04A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4A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4A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4A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4A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4AA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04AA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04AA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4AA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04AA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4A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4A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4A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4AA8"/>
    <w:rPr>
      <w:rFonts w:eastAsiaTheme="majorEastAsia" w:cstheme="majorBidi"/>
      <w:color w:val="272727" w:themeColor="text1" w:themeTint="D8"/>
    </w:rPr>
  </w:style>
  <w:style w:type="paragraph" w:styleId="Title">
    <w:name w:val="Title"/>
    <w:basedOn w:val="Normal"/>
    <w:next w:val="Normal"/>
    <w:link w:val="TitleChar"/>
    <w:uiPriority w:val="10"/>
    <w:qFormat/>
    <w:rsid w:val="00C04A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4A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4A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4A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4AA8"/>
    <w:pPr>
      <w:spacing w:before="160"/>
      <w:jc w:val="center"/>
    </w:pPr>
    <w:rPr>
      <w:i/>
      <w:iCs/>
      <w:color w:val="404040" w:themeColor="text1" w:themeTint="BF"/>
    </w:rPr>
  </w:style>
  <w:style w:type="character" w:customStyle="1" w:styleId="QuoteChar">
    <w:name w:val="Quote Char"/>
    <w:basedOn w:val="DefaultParagraphFont"/>
    <w:link w:val="Quote"/>
    <w:uiPriority w:val="29"/>
    <w:rsid w:val="00C04AA8"/>
    <w:rPr>
      <w:i/>
      <w:iCs/>
      <w:color w:val="404040" w:themeColor="text1" w:themeTint="BF"/>
    </w:rPr>
  </w:style>
  <w:style w:type="paragraph" w:styleId="ListParagraph">
    <w:name w:val="List Paragraph"/>
    <w:basedOn w:val="Normal"/>
    <w:uiPriority w:val="34"/>
    <w:qFormat/>
    <w:rsid w:val="00C04AA8"/>
    <w:pPr>
      <w:ind w:left="720"/>
      <w:contextualSpacing/>
    </w:pPr>
  </w:style>
  <w:style w:type="character" w:styleId="IntenseEmphasis">
    <w:name w:val="Intense Emphasis"/>
    <w:basedOn w:val="DefaultParagraphFont"/>
    <w:uiPriority w:val="21"/>
    <w:qFormat/>
    <w:rsid w:val="00C04AA8"/>
    <w:rPr>
      <w:i/>
      <w:iCs/>
      <w:color w:val="0F4761" w:themeColor="accent1" w:themeShade="BF"/>
    </w:rPr>
  </w:style>
  <w:style w:type="paragraph" w:styleId="IntenseQuote">
    <w:name w:val="Intense Quote"/>
    <w:basedOn w:val="Normal"/>
    <w:next w:val="Normal"/>
    <w:link w:val="IntenseQuoteChar"/>
    <w:uiPriority w:val="30"/>
    <w:qFormat/>
    <w:rsid w:val="00C04A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4AA8"/>
    <w:rPr>
      <w:i/>
      <w:iCs/>
      <w:color w:val="0F4761" w:themeColor="accent1" w:themeShade="BF"/>
    </w:rPr>
  </w:style>
  <w:style w:type="character" w:styleId="IntenseReference">
    <w:name w:val="Intense Reference"/>
    <w:basedOn w:val="DefaultParagraphFont"/>
    <w:uiPriority w:val="32"/>
    <w:qFormat/>
    <w:rsid w:val="00C04AA8"/>
    <w:rPr>
      <w:b/>
      <w:bCs/>
      <w:smallCaps/>
      <w:color w:val="0F4761" w:themeColor="accent1" w:themeShade="BF"/>
      <w:spacing w:val="5"/>
    </w:rPr>
  </w:style>
  <w:style w:type="table" w:styleId="TableGrid">
    <w:name w:val="Table Grid"/>
    <w:basedOn w:val="TableNormal"/>
    <w:uiPriority w:val="39"/>
    <w:rsid w:val="00C04AA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81630"/>
    <w:rPr>
      <w:sz w:val="16"/>
      <w:szCs w:val="16"/>
    </w:rPr>
  </w:style>
  <w:style w:type="paragraph" w:styleId="CommentText">
    <w:name w:val="annotation text"/>
    <w:basedOn w:val="Normal"/>
    <w:link w:val="CommentTextChar"/>
    <w:uiPriority w:val="99"/>
    <w:unhideWhenUsed/>
    <w:rsid w:val="00A81630"/>
    <w:pPr>
      <w:spacing w:line="240" w:lineRule="auto"/>
    </w:pPr>
    <w:rPr>
      <w:sz w:val="20"/>
      <w:szCs w:val="20"/>
    </w:rPr>
  </w:style>
  <w:style w:type="character" w:customStyle="1" w:styleId="CommentTextChar">
    <w:name w:val="Comment Text Char"/>
    <w:basedOn w:val="DefaultParagraphFont"/>
    <w:link w:val="CommentText"/>
    <w:uiPriority w:val="99"/>
    <w:rsid w:val="00A81630"/>
    <w:rPr>
      <w:sz w:val="20"/>
      <w:szCs w:val="20"/>
    </w:rPr>
  </w:style>
  <w:style w:type="paragraph" w:styleId="CommentSubject">
    <w:name w:val="annotation subject"/>
    <w:basedOn w:val="CommentText"/>
    <w:next w:val="CommentText"/>
    <w:link w:val="CommentSubjectChar"/>
    <w:uiPriority w:val="99"/>
    <w:semiHidden/>
    <w:unhideWhenUsed/>
    <w:rsid w:val="00A81630"/>
    <w:rPr>
      <w:b/>
      <w:bCs/>
    </w:rPr>
  </w:style>
  <w:style w:type="character" w:customStyle="1" w:styleId="CommentSubjectChar">
    <w:name w:val="Comment Subject Char"/>
    <w:basedOn w:val="CommentTextChar"/>
    <w:link w:val="CommentSubject"/>
    <w:uiPriority w:val="99"/>
    <w:semiHidden/>
    <w:rsid w:val="00A81630"/>
    <w:rPr>
      <w:b/>
      <w:bCs/>
      <w:sz w:val="20"/>
      <w:szCs w:val="20"/>
    </w:rPr>
  </w:style>
  <w:style w:type="paragraph" w:styleId="Header">
    <w:name w:val="header"/>
    <w:basedOn w:val="Normal"/>
    <w:link w:val="HeaderChar"/>
    <w:uiPriority w:val="99"/>
    <w:unhideWhenUsed/>
    <w:rsid w:val="00A816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1630"/>
  </w:style>
  <w:style w:type="paragraph" w:styleId="Footer">
    <w:name w:val="footer"/>
    <w:basedOn w:val="Normal"/>
    <w:link w:val="FooterChar"/>
    <w:uiPriority w:val="99"/>
    <w:unhideWhenUsed/>
    <w:rsid w:val="00A816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1630"/>
  </w:style>
  <w:style w:type="paragraph" w:styleId="BodyText">
    <w:name w:val="Body Text"/>
    <w:basedOn w:val="Normal"/>
    <w:link w:val="BodyTextChar"/>
    <w:uiPriority w:val="1"/>
    <w:qFormat/>
    <w:rsid w:val="006C1662"/>
    <w:pPr>
      <w:widowControl w:val="0"/>
      <w:autoSpaceDE w:val="0"/>
      <w:autoSpaceDN w:val="0"/>
      <w:spacing w:after="0" w:line="240" w:lineRule="auto"/>
    </w:pPr>
    <w:rPr>
      <w:rFonts w:ascii="Arial" w:eastAsia="Arial" w:hAnsi="Arial" w:cs="Arial"/>
      <w:kern w:val="0"/>
      <w:sz w:val="18"/>
      <w:szCs w:val="18"/>
      <w14:ligatures w14:val="none"/>
    </w:rPr>
  </w:style>
  <w:style w:type="character" w:customStyle="1" w:styleId="BodyTextChar">
    <w:name w:val="Body Text Char"/>
    <w:basedOn w:val="DefaultParagraphFont"/>
    <w:link w:val="BodyText"/>
    <w:uiPriority w:val="1"/>
    <w:rsid w:val="006C1662"/>
    <w:rPr>
      <w:rFonts w:ascii="Arial" w:eastAsia="Arial" w:hAnsi="Arial" w:cs="Arial"/>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795258">
      <w:bodyDiv w:val="1"/>
      <w:marLeft w:val="0"/>
      <w:marRight w:val="0"/>
      <w:marTop w:val="0"/>
      <w:marBottom w:val="0"/>
      <w:divBdr>
        <w:top w:val="none" w:sz="0" w:space="0" w:color="auto"/>
        <w:left w:val="none" w:sz="0" w:space="0" w:color="auto"/>
        <w:bottom w:val="none" w:sz="0" w:space="0" w:color="auto"/>
        <w:right w:val="none" w:sz="0" w:space="0" w:color="auto"/>
      </w:divBdr>
    </w:div>
    <w:div w:id="1006446991">
      <w:bodyDiv w:val="1"/>
      <w:marLeft w:val="0"/>
      <w:marRight w:val="0"/>
      <w:marTop w:val="0"/>
      <w:marBottom w:val="0"/>
      <w:divBdr>
        <w:top w:val="none" w:sz="0" w:space="0" w:color="auto"/>
        <w:left w:val="none" w:sz="0" w:space="0" w:color="auto"/>
        <w:bottom w:val="none" w:sz="0" w:space="0" w:color="auto"/>
        <w:right w:val="none" w:sz="0" w:space="0" w:color="auto"/>
      </w:divBdr>
      <w:divsChild>
        <w:div w:id="7373584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0D22705296B04B9E99E648B82AFFB2" ma:contentTypeVersion="16" ma:contentTypeDescription="Create a new document." ma:contentTypeScope="" ma:versionID="81745b7c5726a8ebcd4ca1e9d07f4a62">
  <xsd:schema xmlns:xsd="http://www.w3.org/2001/XMLSchema" xmlns:xs="http://www.w3.org/2001/XMLSchema" xmlns:p="http://schemas.microsoft.com/office/2006/metadata/properties" xmlns:ns2="c46a9670-bd66-4586-9525-c163b0e5d59b" xmlns:ns3="2c890618-5063-4a10-9269-39309fc44fd8" targetNamespace="http://schemas.microsoft.com/office/2006/metadata/properties" ma:root="true" ma:fieldsID="8b62105e51364e72827a7723cb38122b" ns2:_="" ns3:_="">
    <xsd:import namespace="c46a9670-bd66-4586-9525-c163b0e5d59b"/>
    <xsd:import namespace="2c890618-5063-4a10-9269-39309fc44fd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SearchProperties" minOccurs="0"/>
                <xsd:element ref="ns2:MediaServiceLocation"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6a9670-bd66-4586-9525-c163b0e5d5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f0b95c9-4b07-4b98-a933-278a957ba3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Comment" ma:index="23" nillable="true" ma:displayName="Comment" ma:description="e.g., 508 complete, posted to PQM" ma:format="Dropdown"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90618-5063-4a10-9269-39309fc44fd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372bffc1-9a4c-412d-8198-1e07bd163c28}" ma:internalName="TaxCatchAll" ma:showField="CatchAllData" ma:web="2c890618-5063-4a10-9269-39309fc44fd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c890618-5063-4a10-9269-39309fc44fd8" xsi:nil="true"/>
    <lcf76f155ced4ddcb4097134ff3c332f xmlns="c46a9670-bd66-4586-9525-c163b0e5d59b">
      <Terms xmlns="http://schemas.microsoft.com/office/infopath/2007/PartnerControls"/>
    </lcf76f155ced4ddcb4097134ff3c332f>
    <Comment xmlns="c46a9670-bd66-4586-9525-c163b0e5d59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FA1486-82EF-4F2F-ADEE-7F2AD135C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6a9670-bd66-4586-9525-c163b0e5d59b"/>
    <ds:schemaRef ds:uri="2c890618-5063-4a10-9269-39309fc44f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2C1BE0-F0A2-4E8D-9189-B8A6428D6FA1}">
  <ds:schemaRefs>
    <ds:schemaRef ds:uri="http://schemas.microsoft.com/office/2006/metadata/properties"/>
    <ds:schemaRef ds:uri="http://schemas.microsoft.com/office/infopath/2007/PartnerControls"/>
    <ds:schemaRef ds:uri="2c890618-5063-4a10-9269-39309fc44fd8"/>
    <ds:schemaRef ds:uri="c46a9670-bd66-4586-9525-c163b0e5d59b"/>
  </ds:schemaRefs>
</ds:datastoreItem>
</file>

<file path=customXml/itemProps3.xml><?xml version="1.0" encoding="utf-8"?>
<ds:datastoreItem xmlns:ds="http://schemas.openxmlformats.org/officeDocument/2006/customXml" ds:itemID="{7D0165CA-D749-4EF0-8874-CFF7322C7B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736</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E&amp;M Logic Model Template</vt:lpstr>
    </vt:vector>
  </TitlesOfParts>
  <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E&amp;M Logic Model Template</dc:title>
  <dc:subject/>
  <dc:creator>Battelle</dc:creator>
  <cp:keywords>E&amp;M, Logic Model Template</cp:keywords>
  <dc:description/>
  <cp:lastModifiedBy>Katie Goodwin</cp:lastModifiedBy>
  <cp:revision>2</cp:revision>
  <dcterms:created xsi:type="dcterms:W3CDTF">2025-04-21T16:00:00Z</dcterms:created>
  <dcterms:modified xsi:type="dcterms:W3CDTF">2025-04-21T16:00:00Z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0x010100990D22705296B04B9E99E648B82AFFB2</vt:lpwstr>
  </property>
  <property fmtid="{D5CDD505-2E9C-101B-9397-08002B2CF9AE}" pid="3" name="MediaServiceImageTags">
    <vt:lpwstr/>
  </property>
</Properties>
</file>